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35"/>
        <w:ind w:left="0"/>
        <w:jc w:val="center"/>
      </w:pPr>
      <w:r>
        <w:t xml:space="preserve">ПОЯСНИТЕЛЬНАЯ ЗАПИСКА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Правительства Российской Федерации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</w:rPr>
        <w:t xml:space="preserve">«</w:t>
      </w:r>
      <w:r>
        <w:rPr>
          <w:b/>
          <w:color w:val="000000" w:themeColor="text1"/>
          <w:sz w:val="28"/>
          <w:szCs w:val="28"/>
        </w:rPr>
        <w:t xml:space="preserve">О внесении изменений некоторые акты Правительства Российской Федерации» 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jc w:val="center"/>
        <w:rPr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spacing w:line="353" w:lineRule="auto"/>
        <w:rPr>
          <w:sz w:val="28"/>
          <w:szCs w:val="28"/>
        </w:rPr>
      </w:pPr>
      <w:r>
        <w:rPr>
          <w:sz w:val="28"/>
          <w:szCs w:val="28"/>
        </w:rPr>
        <w:t xml:space="preserve">Минпромторгом России в соответствии с </w:t>
      </w:r>
      <w:r>
        <w:rPr>
          <w:rStyle w:val="940"/>
          <w:rFonts w:eastAsia="Arial"/>
          <w:color w:val="000000"/>
          <w:sz w:val="28"/>
          <w:szCs w:val="28"/>
        </w:rPr>
        <w:t xml:space="preserve">Федеральн</w:t>
      </w:r>
      <w:r>
        <w:rPr>
          <w:rStyle w:val="940"/>
          <w:rFonts w:eastAsia="Arial"/>
          <w:color w:val="000000"/>
          <w:sz w:val="28"/>
          <w:szCs w:val="28"/>
        </w:rPr>
        <w:t xml:space="preserve">ым законом </w:t>
      </w:r>
      <w:r>
        <w:rPr>
          <w:rStyle w:val="940"/>
          <w:rFonts w:eastAsia="Arial"/>
          <w:color w:val="000000"/>
          <w:sz w:val="28"/>
          <w:szCs w:val="28"/>
        </w:rPr>
        <w:br/>
      </w:r>
      <w:r>
        <w:rPr>
          <w:rStyle w:val="940"/>
          <w:rFonts w:eastAsia="Arial"/>
          <w:color w:val="000000"/>
          <w:sz w:val="28"/>
          <w:szCs w:val="28"/>
        </w:rPr>
        <w:t xml:space="preserve">от 4 августа 2026 г. № 331-ФЗ «О внесении изменений</w:t>
      </w:r>
      <w:r>
        <w:rPr>
          <w:color w:val="000000"/>
          <w:sz w:val="28"/>
          <w:szCs w:val="28"/>
        </w:rPr>
        <w:t xml:space="preserve"> в отдельные законодательные акты Российской Федерации»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 п</w:t>
      </w:r>
      <w:r>
        <w:rPr>
          <w:bCs/>
          <w:sz w:val="28"/>
          <w:szCs w:val="28"/>
        </w:rPr>
        <w:t xml:space="preserve">роект постановления Правительства Российской Федерации «</w:t>
      </w:r>
      <w:r>
        <w:rPr>
          <w:color w:val="000000" w:themeColor="text1"/>
          <w:sz w:val="28"/>
          <w:szCs w:val="28"/>
        </w:rPr>
        <w:t xml:space="preserve">О внесении изменений некоторые акты Правительства Российской Федерации</w:t>
      </w:r>
      <w:r>
        <w:rPr>
          <w:sz w:val="28"/>
          <w:szCs w:val="28"/>
        </w:rPr>
        <w:t xml:space="preserve">» (далее – проект постановлен</w:t>
      </w:r>
      <w:r>
        <w:rPr>
          <w:sz w:val="28"/>
          <w:szCs w:val="28"/>
        </w:rPr>
        <w:t xml:space="preserve">ия), которым предлагается внести изменения </w:t>
      </w:r>
      <w:r>
        <w:rPr>
          <w:sz w:val="28"/>
          <w:szCs w:val="28"/>
        </w:rPr>
        <w:t xml:space="preserve">в постановление Правительства Российской Федерации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23 сентября 2025 г. № 1462 </w:t>
      </w:r>
      <w:r>
        <w:rPr>
          <w:sz w:val="28"/>
          <w:szCs w:val="28"/>
        </w:rPr>
        <w:t xml:space="preserve">«Об утверждении Правил добровольного предоставления в государственную информационную систему мониторинга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за оборотом товаров, подл</w:t>
      </w:r>
      <w:r>
        <w:rPr>
          <w:sz w:val="28"/>
          <w:szCs w:val="28"/>
        </w:rPr>
        <w:t xml:space="preserve">ежащих обязательной маркировке средствами идентификации, информации, ее обработки и применения в целях подтверждения страны происхождения лекарственных препаратов для медицинского применения, подлежащих обязательной маркировке средствами идентификации» и в</w:t>
      </w:r>
      <w:r>
        <w:rPr>
          <w:sz w:val="28"/>
          <w:szCs w:val="28"/>
        </w:rPr>
        <w:t xml:space="preserve"> приложение № 1 к Положению о системе мониторинга движения лекарственных препаратов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для медицинского применения, утвержденное постановлением Правительства Российской Федерации </w:t>
      </w:r>
      <w:r>
        <w:rPr>
          <w:sz w:val="28"/>
          <w:szCs w:val="28"/>
        </w:rPr>
        <w:t xml:space="preserve">от 14 декабря 2018 г. № 1556 «Об утверждении Положения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 системе мониторинга дв</w:t>
      </w:r>
      <w:r>
        <w:rPr>
          <w:sz w:val="28"/>
          <w:szCs w:val="28"/>
        </w:rPr>
        <w:t xml:space="preserve">ижения лекарственных препаратов для медицинского применения».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Постановлением Правительства Российской Федерации от 23 сентября 2025 г. № 1462 утверждены Правила добровольного предоставления в государственную информационную систему мониторинга за оборотом </w:t>
      </w:r>
      <w:r>
        <w:rPr>
          <w:color w:val="000000" w:themeColor="text1"/>
          <w:sz w:val="28"/>
          <w:szCs w:val="28"/>
        </w:rPr>
        <w:t xml:space="preserve">товаров, подлежащих обязательной маркировке средствами идентификации, информации, </w:t>
      </w:r>
      <w:r>
        <w:rPr>
          <w:color w:val="000000" w:themeColor="text1"/>
          <w:sz w:val="28"/>
          <w:szCs w:val="28"/>
        </w:rPr>
        <w:br/>
        <w:t xml:space="preserve">ее обработки и применения в целях подтверждения страны происхождения лекарственных препаратов для медицинского применения, подлежащих обязательной маркировке средствами иден</w:t>
      </w:r>
      <w:r>
        <w:rPr>
          <w:color w:val="000000" w:themeColor="text1"/>
          <w:sz w:val="28"/>
          <w:szCs w:val="28"/>
        </w:rPr>
        <w:t xml:space="preserve">тификации (далее соответ</w:t>
      </w:r>
      <w:r>
        <w:rPr>
          <w:color w:val="000000" w:themeColor="text1"/>
          <w:sz w:val="28"/>
          <w:szCs w:val="28"/>
        </w:rPr>
        <w:t xml:space="preserve">ственно – Постановление </w:t>
      </w:r>
      <w:r>
        <w:rPr>
          <w:color w:val="000000" w:themeColor="text1"/>
          <w:sz w:val="28"/>
          <w:szCs w:val="28"/>
        </w:rPr>
        <w:br/>
        <w:t xml:space="preserve">№ 1462,</w:t>
      </w:r>
      <w:r>
        <w:rPr>
          <w:color w:val="000000" w:themeColor="text1"/>
          <w:sz w:val="28"/>
          <w:szCs w:val="28"/>
        </w:rPr>
        <w:t xml:space="preserve"> Правила, информационная система мониторинга).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Разработка проекта постановления обусловлена развитием функциональности информационной систе</w:t>
      </w:r>
      <w:bookmarkStart w:id="0" w:name="_GoBack"/>
      <w:r/>
      <w:bookmarkEnd w:id="0"/>
      <w:r>
        <w:rPr>
          <w:color w:val="000000" w:themeColor="text1"/>
          <w:sz w:val="28"/>
          <w:szCs w:val="28"/>
        </w:rPr>
        <w:t xml:space="preserve">мы мониторинга для целей регулирования подтверждения </w:t>
      </w:r>
      <w:r>
        <w:rPr>
          <w:color w:val="000000" w:themeColor="text1"/>
          <w:sz w:val="28"/>
          <w:szCs w:val="28"/>
        </w:rPr>
        <w:t xml:space="preserve">страны п</w:t>
      </w:r>
      <w:r>
        <w:rPr>
          <w:color w:val="000000" w:themeColor="text1"/>
          <w:sz w:val="28"/>
          <w:szCs w:val="28"/>
        </w:rPr>
        <w:t xml:space="preserve">роисхождения лекарственных препаратов для медицинского применения, </w:t>
      </w:r>
      <w:r>
        <w:rPr>
          <w:color w:val="000000" w:themeColor="text1"/>
          <w:sz w:val="28"/>
          <w:szCs w:val="28"/>
        </w:rPr>
        <w:br/>
        <w:t xml:space="preserve">а также результатами правоприменительной практики. 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Проектом постановления предусмотрено обеспечение возможности подключения аудиторских организаций к информационной системе мониторинг</w:t>
      </w:r>
      <w:r>
        <w:rPr>
          <w:color w:val="000000" w:themeColor="text1"/>
          <w:sz w:val="28"/>
          <w:szCs w:val="28"/>
        </w:rPr>
        <w:t xml:space="preserve">а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u w:val="single"/>
        </w:rPr>
        <w:t xml:space="preserve">в целях передачи </w:t>
      </w:r>
      <w:r>
        <w:rPr>
          <w:color w:val="000000" w:themeColor="text1"/>
          <w:sz w:val="28"/>
          <w:szCs w:val="28"/>
          <w:u w:val="single"/>
        </w:rPr>
        <w:t xml:space="preserve">сведений</w:t>
      </w:r>
      <w:r>
        <w:rPr>
          <w:color w:val="000000" w:themeColor="text1"/>
          <w:sz w:val="28"/>
          <w:u w:val="single"/>
        </w:rPr>
        <w:t xml:space="preserve"> о результатах </w:t>
      </w:r>
      <w:r>
        <w:rPr>
          <w:color w:val="000000" w:themeColor="text1"/>
          <w:sz w:val="28"/>
          <w:szCs w:val="28"/>
          <w:u w:val="single"/>
        </w:rPr>
        <w:t xml:space="preserve">проведения </w:t>
      </w:r>
      <w:r>
        <w:rPr>
          <w:color w:val="000000" w:themeColor="text1"/>
          <w:sz w:val="28"/>
          <w:u w:val="single"/>
        </w:rPr>
        <w:t xml:space="preserve">задания</w:t>
      </w:r>
      <w:r>
        <w:rPr>
          <w:color w:val="000000" w:themeColor="text1"/>
          <w:sz w:val="28"/>
          <w:szCs w:val="28"/>
        </w:rPr>
        <w:t xml:space="preserve">, обеспечивающего уверенность, в рамках фактического аудита нереализованных исходных материалов (проверки материально-производственных запасов) на площадках субъектов </w:t>
      </w:r>
      <w:r>
        <w:rPr>
          <w:color w:val="000000" w:themeColor="text1"/>
          <w:sz w:val="28"/>
          <w:szCs w:val="28"/>
        </w:rPr>
        <w:t xml:space="preserve">прослеживаемости</w:t>
      </w:r>
      <w:r>
        <w:rPr>
          <w:color w:val="000000" w:themeColor="text1"/>
          <w:sz w:val="28"/>
          <w:szCs w:val="28"/>
        </w:rPr>
        <w:t xml:space="preserve"> или участни</w:t>
      </w:r>
      <w:r>
        <w:rPr>
          <w:color w:val="000000" w:themeColor="text1"/>
          <w:sz w:val="28"/>
          <w:szCs w:val="28"/>
        </w:rPr>
        <w:t xml:space="preserve">ков оборота исходных материалов для целей соответствия таких сведений сведениям, внесенным субъектами </w:t>
      </w:r>
      <w:r>
        <w:rPr>
          <w:color w:val="000000" w:themeColor="text1"/>
          <w:sz w:val="28"/>
          <w:szCs w:val="28"/>
        </w:rPr>
        <w:t xml:space="preserve">прослеживаемости</w:t>
      </w:r>
      <w:r>
        <w:rPr>
          <w:color w:val="000000" w:themeColor="text1"/>
          <w:sz w:val="28"/>
          <w:szCs w:val="28"/>
        </w:rPr>
        <w:t xml:space="preserve"> или участниками оборота исходных материалов в информационную систему мониторинга.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Такой подход позволит обеспечить введение в информацио</w:t>
      </w:r>
      <w:r>
        <w:rPr>
          <w:color w:val="000000" w:themeColor="text1"/>
          <w:sz w:val="28"/>
          <w:szCs w:val="28"/>
        </w:rPr>
        <w:t xml:space="preserve">нную систему мониторинга нереализованных остатков исходных материалов, имеющихся </w:t>
      </w:r>
      <w:r>
        <w:rPr>
          <w:color w:val="000000" w:themeColor="text1"/>
          <w:sz w:val="28"/>
          <w:szCs w:val="28"/>
        </w:rPr>
        <w:br/>
        <w:t xml:space="preserve">на складах производителей лекарственных средств или сырья, при условии выявления информационной системой мониторинга соответствия сведений, внесенных аудиторскими организация</w:t>
      </w:r>
      <w:r>
        <w:rPr>
          <w:color w:val="000000" w:themeColor="text1"/>
          <w:sz w:val="28"/>
          <w:szCs w:val="28"/>
        </w:rPr>
        <w:t xml:space="preserve">ми, сведениям от производителей лекарственных средств или сырья.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сведений, вносимых в информационную систему мониторинга </w:t>
      </w:r>
      <w:r>
        <w:rPr>
          <w:color w:val="000000" w:themeColor="text1"/>
          <w:sz w:val="28"/>
          <w:szCs w:val="28"/>
        </w:rPr>
        <w:br/>
        <w:t xml:space="preserve">в отношении нереализованных материалов, порядок предоставления таких сведений в информационную систему мониторинга, проект форм</w:t>
      </w:r>
      <w:r>
        <w:rPr>
          <w:color w:val="000000" w:themeColor="text1"/>
          <w:sz w:val="28"/>
          <w:szCs w:val="28"/>
        </w:rPr>
        <w:t xml:space="preserve">ы отчета субъекта </w:t>
      </w:r>
      <w:r>
        <w:rPr>
          <w:color w:val="000000" w:themeColor="text1"/>
          <w:sz w:val="28"/>
          <w:szCs w:val="28"/>
        </w:rPr>
        <w:t xml:space="preserve">прослеживаемости</w:t>
      </w:r>
      <w:r>
        <w:rPr>
          <w:color w:val="000000" w:themeColor="text1"/>
          <w:sz w:val="28"/>
          <w:szCs w:val="28"/>
        </w:rPr>
        <w:t xml:space="preserve"> (участника оборота исходных материалов) о нереализованных исходных материалах и проект формы заключения практикующего специалиста по заданию, обеспечивающему уверенность, предлагается определять приказом Минпромторга Росс</w:t>
      </w:r>
      <w:r>
        <w:rPr>
          <w:color w:val="000000" w:themeColor="text1"/>
          <w:sz w:val="28"/>
          <w:szCs w:val="28"/>
        </w:rPr>
        <w:t xml:space="preserve">ии, о чем также содержаться положения в проекте постановления.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Предлагается установить возможность внесения изменений в сведения </w:t>
      </w:r>
      <w:r>
        <w:rPr>
          <w:color w:val="000000" w:themeColor="text1"/>
          <w:sz w:val="28"/>
          <w:szCs w:val="28"/>
        </w:rPr>
        <w:br/>
        <w:t xml:space="preserve">об исходных материалах на виртуальном складе в целях обеспечения конвертации единиц измерения по таким исходным материалам.</w:t>
      </w:r>
      <w:r>
        <w:rPr>
          <w:color w:val="000000" w:themeColor="text1"/>
          <w:sz w:val="28"/>
          <w:szCs w:val="28"/>
        </w:rPr>
        <w:t xml:space="preserve"> Необходимость обусловлена тем, что единицы измерения исходных материалов, применяемые поставщиками при ввозе сырья (его идентификации) и используемые в производстве лекарственных средств производителями лекарственных средств, могут отличаться (например, и</w:t>
      </w:r>
      <w:r>
        <w:rPr>
          <w:color w:val="000000" w:themeColor="text1"/>
          <w:sz w:val="28"/>
          <w:szCs w:val="28"/>
        </w:rPr>
        <w:t xml:space="preserve">мпорт обеспечен в килограммах, при этом в рамках производства и с учетом </w:t>
      </w:r>
      <w:r>
        <w:rPr>
          <w:color w:val="000000" w:themeColor="text1"/>
          <w:sz w:val="28"/>
          <w:szCs w:val="28"/>
        </w:rPr>
        <w:t xml:space="preserve">промышленного регламента на лекарственное средство требуется перевести единицы измерения такого исходного материала в литры). Также указанная проектируемая возможность позволит включа</w:t>
      </w:r>
      <w:r>
        <w:rPr>
          <w:color w:val="000000" w:themeColor="text1"/>
          <w:sz w:val="28"/>
          <w:szCs w:val="28"/>
        </w:rPr>
        <w:t xml:space="preserve">ть в информационную систему мониторинга сведения о новых поставщиках сырья.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действующей редакцией Правил такой функциональности </w:t>
        <w:br/>
        <w:t xml:space="preserve">по переводу единиц измерения не предусмотрено, как </w:t>
      </w:r>
      <w:r>
        <w:rPr>
          <w:color w:val="000000" w:themeColor="text1"/>
          <w:sz w:val="28"/>
          <w:szCs w:val="28"/>
          <w:u w:val="single"/>
        </w:rPr>
        <w:t xml:space="preserve">и внесение сведений</w:t>
      </w:r>
      <w:r>
        <w:rPr>
          <w:color w:val="000000" w:themeColor="text1"/>
          <w:sz w:val="28"/>
          <w:szCs w:val="28"/>
        </w:rPr>
        <w:t xml:space="preserve"> </w:t>
        <w:br/>
        <w:t xml:space="preserve">в информационную систему мониторинга </w:t>
      </w:r>
      <w:r>
        <w:rPr>
          <w:color w:val="000000" w:themeColor="text1"/>
          <w:sz w:val="28"/>
          <w:szCs w:val="28"/>
          <w:u w:val="single"/>
        </w:rPr>
        <w:t xml:space="preserve">об </w:t>
      </w:r>
      <w:r>
        <w:rPr>
          <w:color w:val="000000" w:themeColor="text1"/>
          <w:sz w:val="28"/>
          <w:szCs w:val="28"/>
          <w:u w:val="single"/>
        </w:rPr>
        <w:t xml:space="preserve">использовании</w:t>
      </w:r>
      <w:r>
        <w:rPr>
          <w:color w:val="000000" w:themeColor="text1"/>
          <w:sz w:val="28"/>
          <w:szCs w:val="28"/>
        </w:rPr>
        <w:t xml:space="preserve"> при подтверждении фактически выполняемых стадий технологического процесса производства лекарственного средства </w:t>
      </w:r>
      <w:r>
        <w:rPr>
          <w:color w:val="000000" w:themeColor="text1"/>
          <w:sz w:val="28"/>
          <w:u w:val="single"/>
        </w:rPr>
        <w:t xml:space="preserve">исходных материалов от поставщиков</w:t>
      </w:r>
      <w:r>
        <w:rPr>
          <w:color w:val="000000" w:themeColor="text1"/>
          <w:sz w:val="28"/>
          <w:szCs w:val="28"/>
        </w:rPr>
        <w:t xml:space="preserve">, не указанных ранее в карточке товара (сырья), не сопоставимых с материальным балансом.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Таким об</w:t>
      </w:r>
      <w:r>
        <w:rPr>
          <w:color w:val="000000" w:themeColor="text1"/>
          <w:sz w:val="28"/>
          <w:szCs w:val="28"/>
        </w:rPr>
        <w:t xml:space="preserve">разом, вводимая функциональность позволит адаптировать существующие бизнес-процессы у производителей лекарственных средств при внесении сведений в информационную систему мониторинга для постановки сырья на виртуальный склад и подтверждения стадий производс</w:t>
      </w:r>
      <w:r>
        <w:rPr>
          <w:color w:val="000000" w:themeColor="text1"/>
          <w:sz w:val="28"/>
          <w:szCs w:val="28"/>
        </w:rPr>
        <w:t xml:space="preserve">тва лекарственных средств.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Предлагается уточнить причины отказа в приеме электронных документов или во внесении в информационную систему мониторинга сведений, предоставляемых субъектами </w:t>
      </w:r>
      <w:r>
        <w:rPr>
          <w:color w:val="000000" w:themeColor="text1"/>
          <w:sz w:val="28"/>
          <w:szCs w:val="28"/>
        </w:rPr>
        <w:t xml:space="preserve">прослеживаемости</w:t>
      </w:r>
      <w:r>
        <w:rPr>
          <w:color w:val="000000" w:themeColor="text1"/>
          <w:sz w:val="28"/>
          <w:szCs w:val="28"/>
        </w:rPr>
        <w:t xml:space="preserve"> (участниками оборота исходных материалов), в частн</w:t>
      </w:r>
      <w:r>
        <w:rPr>
          <w:color w:val="000000" w:themeColor="text1"/>
          <w:sz w:val="28"/>
          <w:szCs w:val="28"/>
        </w:rPr>
        <w:t xml:space="preserve">ости, в целях обеспечения приема информационной системой мониторинга только сведений об исходных материалах, подтвержденных сведениями, получаемыми информационной системой мониторинга из Единой автоматизированной информационной системой таможенных органов,</w:t>
      </w:r>
      <w:r>
        <w:rPr>
          <w:color w:val="000000" w:themeColor="text1"/>
          <w:sz w:val="28"/>
          <w:szCs w:val="28"/>
        </w:rPr>
        <w:t xml:space="preserve"> или из Федеральной государственной информационной системы в области ветеринарии, или из реестра российской промышленной продукции, или из информационных систем государств - членов Евразийского экономического союза, также позволяющих установить происхожден</w:t>
      </w:r>
      <w:r>
        <w:rPr>
          <w:color w:val="000000" w:themeColor="text1"/>
          <w:sz w:val="28"/>
          <w:szCs w:val="28"/>
        </w:rPr>
        <w:t xml:space="preserve">ие исходных материалов, ввозимых на территорию Российской Федерации.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Предлагается уточнить особенности </w:t>
      </w:r>
      <w:r>
        <w:rPr>
          <w:sz w:val="28"/>
          <w:szCs w:val="28"/>
        </w:rPr>
        <w:t xml:space="preserve">формирования и применения карточек описания исходного материала.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Предлагается предоставить субъектам </w:t>
      </w:r>
      <w:r>
        <w:rPr>
          <w:color w:val="000000" w:themeColor="text1"/>
          <w:sz w:val="28"/>
          <w:szCs w:val="28"/>
        </w:rPr>
        <w:t xml:space="preserve">прослеживаемости</w:t>
      </w:r>
      <w:r>
        <w:rPr>
          <w:color w:val="000000" w:themeColor="text1"/>
          <w:sz w:val="28"/>
          <w:szCs w:val="28"/>
        </w:rPr>
        <w:t xml:space="preserve"> возможность </w:t>
        <w:br/>
        <w:t xml:space="preserve">до выдачи (получе</w:t>
      </w:r>
      <w:r>
        <w:rPr>
          <w:color w:val="000000" w:themeColor="text1"/>
          <w:sz w:val="28"/>
          <w:szCs w:val="28"/>
        </w:rPr>
        <w:t xml:space="preserve">ния) документа, содержащего сведения о стадиях технологического процесса производства лекарственного средства, осуществляемых на территории </w:t>
      </w:r>
      <w:r>
        <w:rPr>
          <w:color w:val="000000" w:themeColor="text1"/>
          <w:sz w:val="28"/>
          <w:szCs w:val="28"/>
        </w:rPr>
        <w:t xml:space="preserve">Евразийского экономического союза, осуществлять корректировку количества исходных материалов на виртуальном складе в</w:t>
      </w:r>
      <w:r>
        <w:rPr>
          <w:color w:val="000000" w:themeColor="text1"/>
          <w:sz w:val="28"/>
          <w:szCs w:val="28"/>
        </w:rPr>
        <w:t xml:space="preserve"> целях приведения </w:t>
        <w:br/>
        <w:t xml:space="preserve">в соответствии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с фактически содержащимися на складе исходными материалами посредством передачи соответствующего электронного документа </w:t>
        <w:br/>
        <w:t xml:space="preserve">в информационную систему мониторинга.</w:t>
      </w:r>
      <w:r>
        <w:rPr>
          <w:color w:val="000000" w:themeColor="text1"/>
          <w:sz w:val="28"/>
          <w:szCs w:val="28"/>
        </w:rPr>
      </w:r>
      <w:r/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Предлагается уточнить особенности отражения сведений о дате п</w:t>
      </w:r>
      <w:r>
        <w:rPr>
          <w:color w:val="000000" w:themeColor="text1"/>
          <w:sz w:val="28"/>
          <w:szCs w:val="28"/>
        </w:rPr>
        <w:t xml:space="preserve">роизводства с учетом необходимости сохранения передачи сведений в режиме реального времени (с учетом терминологии используемой в рамках Рекомендаций Коллегии Евразийской экономической комиссии от 26 февраля 2020 г. № 2 «О Руководстве </w:t>
      </w:r>
      <w:r>
        <w:rPr>
          <w:color w:val="000000" w:themeColor="text1"/>
          <w:sz w:val="28"/>
          <w:szCs w:val="28"/>
        </w:rPr>
        <w:br/>
        <w:t xml:space="preserve">по исчислению даты на</w:t>
      </w:r>
      <w:r>
        <w:rPr>
          <w:color w:val="000000" w:themeColor="text1"/>
          <w:sz w:val="28"/>
          <w:szCs w:val="28"/>
        </w:rPr>
        <w:t xml:space="preserve">чала отсчета срока годности готовых лекарственных форм лекарственных препаратов для медицинского применения и ветеринарных лекарственных препаратов» и Решения Коллегии Евразийской экономической комиссии от 10 мая 2018 г. № 69 «Об утверждении Требований к и</w:t>
      </w:r>
      <w:r>
        <w:rPr>
          <w:color w:val="000000" w:themeColor="text1"/>
          <w:sz w:val="28"/>
          <w:szCs w:val="28"/>
        </w:rPr>
        <w:t xml:space="preserve">сследованию стабильности лекарственных препаратов и фармацевтических субстанций»), в том числе вводятся проверки в отношении даты передачи сведений о производстве </w:t>
      </w:r>
      <w:r>
        <w:rPr>
          <w:color w:val="000000" w:themeColor="text1"/>
          <w:sz w:val="28"/>
          <w:szCs w:val="28"/>
        </w:rPr>
        <w:br/>
        <w:t xml:space="preserve">в информационную систему мониторинга.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 Проектом постановления предусмотрено дополнение </w:t>
      </w:r>
      <w:r>
        <w:rPr>
          <w:sz w:val="28"/>
          <w:szCs w:val="28"/>
        </w:rPr>
        <w:t xml:space="preserve">перечня сведений, передаваемых в государственную информационную систему мониторинга </w:t>
      </w:r>
      <w:r>
        <w:rPr>
          <w:sz w:val="28"/>
          <w:szCs w:val="28"/>
        </w:rPr>
        <w:br/>
        <w:t xml:space="preserve">за оборотом товаров, подлежащих обязательной маркировке средствами идентификации, в части сведений о прекращении действия документа, содержащего сведения о стадиях техноло</w:t>
      </w:r>
      <w:r>
        <w:rPr>
          <w:sz w:val="28"/>
          <w:szCs w:val="28"/>
        </w:rPr>
        <w:t xml:space="preserve">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8. Проектом постановления также предлагается скорректировать отдельные положения Постановления № 1462, Прав</w:t>
      </w:r>
      <w:r>
        <w:rPr>
          <w:color w:val="000000" w:themeColor="text1"/>
          <w:sz w:val="28"/>
          <w:szCs w:val="28"/>
        </w:rPr>
        <w:t xml:space="preserve">ил, приложений к Правилам в целях оптимизации, структурирования и более однозначной их трактовки, например, уточнить существующее регулирование в части, что в информационную систему мониторинга обеспечивается передача информации о ввозе исходных материалов</w:t>
      </w:r>
      <w:r>
        <w:rPr>
          <w:color w:val="000000" w:themeColor="text1"/>
          <w:sz w:val="28"/>
          <w:szCs w:val="28"/>
        </w:rPr>
        <w:t xml:space="preserve">, а также о перемещении исходных материалов между местами осуществления деятельности, указанными в разрешении (лицензии) на производство лекарственных </w:t>
      </w:r>
      <w:r>
        <w:rPr>
          <w:color w:val="000000" w:themeColor="text1"/>
          <w:sz w:val="28"/>
          <w:szCs w:val="28"/>
        </w:rPr>
        <w:t xml:space="preserve">средств, выданной лицензирующим органом в государстве - члене Евразийского экономического союза.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 Скорр</w:t>
      </w:r>
      <w:r>
        <w:rPr>
          <w:color w:val="000000" w:themeColor="text1"/>
          <w:sz w:val="28"/>
          <w:szCs w:val="28"/>
        </w:rPr>
        <w:t xml:space="preserve">ектирован и дополнен понятийный аппарат Правил с учетом предлагаемых проектом постановления изменений.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 постановления соответствует положениям Договора о Евразийском экономическом союзе, а также положениям иных международных договоров Российской Феде</w:t>
      </w:r>
      <w:r>
        <w:rPr>
          <w:color w:val="000000" w:themeColor="text1"/>
          <w:sz w:val="28"/>
          <w:szCs w:val="28"/>
        </w:rPr>
        <w:t xml:space="preserve">рации.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Принятие положений, предусмотренных проектом постановления, не повлияет на достижение целей государственных программ Российской Федерации.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Принятие положений, предусмотренных проектом постановления, не повлечет социально-экономических, финансовых и иных последствий, в том числе </w:t>
      </w:r>
      <w:r>
        <w:rPr>
          <w:color w:val="000000" w:themeColor="text1"/>
          <w:sz w:val="28"/>
          <w:szCs w:val="28"/>
        </w:rPr>
        <w:br/>
        <w:t xml:space="preserve">для субъектов предпринимательской и иной экономической деятельности.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проекте постановления требования, которые св</w:t>
      </w:r>
      <w:r>
        <w:rPr>
          <w:color w:val="000000" w:themeColor="text1"/>
          <w:sz w:val="28"/>
          <w:szCs w:val="28"/>
        </w:rPr>
        <w:t xml:space="preserve">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</w:t>
      </w:r>
      <w:r>
        <w:rPr>
          <w:color w:val="000000" w:themeColor="text1"/>
          <w:sz w:val="28"/>
          <w:szCs w:val="28"/>
        </w:rPr>
        <w:t xml:space="preserve">цензий и иных разрешений, аккредитации, оценки соответствия продукции, иных форм оценки и экспертизы (далее – обязательные требования), </w:t>
      </w:r>
      <w:r>
        <w:rPr>
          <w:color w:val="000000" w:themeColor="text1"/>
          <w:sz w:val="28"/>
          <w:szCs w:val="28"/>
        </w:rPr>
        <w:br/>
        <w:t xml:space="preserve">о соответствующем виде государственного контроля (надзора), виде разрешительной деятельности и предполагаемой ответстве</w:t>
      </w:r>
      <w:r>
        <w:rPr>
          <w:color w:val="000000" w:themeColor="text1"/>
          <w:sz w:val="28"/>
          <w:szCs w:val="28"/>
        </w:rPr>
        <w:t xml:space="preserve">нности за нарушение обязательных требований или последствиях их несоблюдения, отсутствуют.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53" w:lineRule="auto"/>
        <w:rPr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Сведения о видах разрешительной деятельности</w:t>
      </w:r>
      <w:r>
        <w:rPr>
          <w:sz w:val="28"/>
          <w:szCs w:val="28"/>
        </w:rPr>
        <w:t xml:space="preserve"> отсутствуют.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353" w:lineRule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Срок вступления в силу с 1 декабря 2026 г. установлен в соответствии </w:t>
        <w:br/>
        <w:t xml:space="preserve">с частью 2 статьи 7 </w:t>
      </w:r>
      <w:r>
        <w:rPr>
          <w:sz w:val="28"/>
          <w:szCs w:val="28"/>
          <w:highlight w:val="none"/>
        </w:rPr>
        <w:t xml:space="preserve">Федерального закона от 4 августа 2026 г. № 331-ФЗ «О внесении изменений в отдельные законодательные акты Российской Федерации»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134" w:header="567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24942627"/>
      <w:docPartObj>
        <w:docPartGallery w:val="Page Numbers (Top of Page)"/>
        <w:docPartUnique w:val="true"/>
      </w:docPartObj>
      <w:rPr/>
    </w:sdtPr>
    <w:sdtContent>
      <w:p>
        <w:pPr>
          <w:pStyle w:val="92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1"/>
      <w:rPr>
        <w:rStyle w:val="923"/>
      </w:rPr>
      <w:framePr w:wrap="around" w:vAnchor="text" w:hAnchor="margin" w:xAlign="center" w:y="1"/>
    </w:pPr>
    <w:r>
      <w:rPr>
        <w:rStyle w:val="923"/>
      </w:rPr>
      <w:fldChar w:fldCharType="begin"/>
    </w:r>
    <w:r>
      <w:rPr>
        <w:rStyle w:val="923"/>
      </w:rPr>
      <w:instrText xml:space="preserve">PAGE  </w:instrText>
    </w:r>
    <w:r>
      <w:rPr>
        <w:rStyle w:val="923"/>
      </w:rPr>
      <w:fldChar w:fldCharType="end"/>
    </w:r>
    <w:r>
      <w:rPr>
        <w:rStyle w:val="923"/>
      </w:rPr>
    </w:r>
    <w:r>
      <w:rPr>
        <w:rStyle w:val="923"/>
      </w:rPr>
    </w:r>
  </w:p>
  <w:p>
    <w:pPr>
      <w:pStyle w:val="92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7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728">
    <w:name w:val="Heading 1"/>
    <w:basedOn w:val="727"/>
    <w:next w:val="727"/>
    <w:link w:val="7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9">
    <w:name w:val="Heading 2"/>
    <w:basedOn w:val="727"/>
    <w:next w:val="727"/>
    <w:link w:val="7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0">
    <w:name w:val="Heading 3"/>
    <w:basedOn w:val="727"/>
    <w:next w:val="727"/>
    <w:link w:val="75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1">
    <w:name w:val="Heading 4"/>
    <w:basedOn w:val="727"/>
    <w:next w:val="727"/>
    <w:link w:val="75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2">
    <w:name w:val="Heading 5"/>
    <w:basedOn w:val="727"/>
    <w:next w:val="727"/>
    <w:link w:val="7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33">
    <w:name w:val="Heading 6"/>
    <w:basedOn w:val="727"/>
    <w:next w:val="727"/>
    <w:link w:val="76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4">
    <w:name w:val="Heading 7"/>
    <w:basedOn w:val="727"/>
    <w:next w:val="727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727"/>
    <w:next w:val="727"/>
    <w:link w:val="920"/>
    <w:uiPriority w:val="9"/>
    <w:qFormat/>
    <w:pPr>
      <w:ind w:left="708"/>
      <w:jc w:val="both"/>
      <w:keepNext/>
      <w:outlineLvl w:val="7"/>
    </w:pPr>
    <w:rPr>
      <w:b/>
      <w:bCs/>
      <w:sz w:val="28"/>
      <w:szCs w:val="28"/>
    </w:rPr>
  </w:style>
  <w:style w:type="paragraph" w:styleId="736">
    <w:name w:val="Heading 9"/>
    <w:basedOn w:val="727"/>
    <w:next w:val="727"/>
    <w:link w:val="7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7" w:default="1">
    <w:name w:val="Default Paragraph Font"/>
    <w:uiPriority w:val="1"/>
    <w:semiHidden/>
    <w:unhideWhenUsed/>
  </w:style>
  <w:style w:type="table" w:styleId="7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9" w:default="1">
    <w:name w:val="No List"/>
    <w:uiPriority w:val="99"/>
    <w:semiHidden/>
    <w:unhideWhenUsed/>
  </w:style>
  <w:style w:type="character" w:styleId="740" w:customStyle="1">
    <w:name w:val="Caption Char"/>
    <w:basedOn w:val="737"/>
    <w:uiPriority w:val="35"/>
    <w:rPr>
      <w:b/>
      <w:bCs/>
      <w:color w:val="4472c4" w:themeColor="accent1"/>
      <w:sz w:val="18"/>
      <w:szCs w:val="18"/>
    </w:rPr>
  </w:style>
  <w:style w:type="character" w:styleId="741" w:customStyle="1">
    <w:name w:val="Heading 1 Char"/>
    <w:basedOn w:val="737"/>
    <w:uiPriority w:val="9"/>
    <w:rPr>
      <w:rFonts w:ascii="Arial" w:hAnsi="Arial" w:eastAsia="Arial" w:cs="Arial"/>
      <w:sz w:val="40"/>
      <w:szCs w:val="40"/>
    </w:rPr>
  </w:style>
  <w:style w:type="character" w:styleId="742" w:customStyle="1">
    <w:name w:val="Heading 2 Char"/>
    <w:basedOn w:val="737"/>
    <w:uiPriority w:val="9"/>
    <w:rPr>
      <w:rFonts w:ascii="Arial" w:hAnsi="Arial" w:eastAsia="Arial" w:cs="Arial"/>
      <w:sz w:val="34"/>
    </w:rPr>
  </w:style>
  <w:style w:type="character" w:styleId="743" w:customStyle="1">
    <w:name w:val="Heading 3 Char"/>
    <w:basedOn w:val="737"/>
    <w:uiPriority w:val="9"/>
    <w:rPr>
      <w:rFonts w:ascii="Arial" w:hAnsi="Arial" w:eastAsia="Arial" w:cs="Arial"/>
      <w:sz w:val="30"/>
      <w:szCs w:val="30"/>
    </w:rPr>
  </w:style>
  <w:style w:type="character" w:styleId="744" w:customStyle="1">
    <w:name w:val="Heading 4 Char"/>
    <w:basedOn w:val="737"/>
    <w:uiPriority w:val="9"/>
    <w:rPr>
      <w:rFonts w:ascii="Arial" w:hAnsi="Arial" w:eastAsia="Arial" w:cs="Arial"/>
      <w:b/>
      <w:bCs/>
      <w:sz w:val="26"/>
      <w:szCs w:val="26"/>
    </w:rPr>
  </w:style>
  <w:style w:type="character" w:styleId="745" w:customStyle="1">
    <w:name w:val="Heading 5 Char"/>
    <w:basedOn w:val="737"/>
    <w:uiPriority w:val="9"/>
    <w:rPr>
      <w:rFonts w:ascii="Arial" w:hAnsi="Arial" w:eastAsia="Arial" w:cs="Arial"/>
      <w:b/>
      <w:bCs/>
      <w:sz w:val="24"/>
      <w:szCs w:val="24"/>
    </w:rPr>
  </w:style>
  <w:style w:type="character" w:styleId="746" w:customStyle="1">
    <w:name w:val="Heading 6 Char"/>
    <w:basedOn w:val="737"/>
    <w:uiPriority w:val="9"/>
    <w:rPr>
      <w:rFonts w:ascii="Arial" w:hAnsi="Arial" w:eastAsia="Arial" w:cs="Arial"/>
      <w:b/>
      <w:bCs/>
      <w:sz w:val="22"/>
      <w:szCs w:val="22"/>
    </w:rPr>
  </w:style>
  <w:style w:type="character" w:styleId="747" w:customStyle="1">
    <w:name w:val="Heading 7 Char"/>
    <w:basedOn w:val="7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8" w:customStyle="1">
    <w:name w:val="Heading 9 Char"/>
    <w:basedOn w:val="737"/>
    <w:uiPriority w:val="9"/>
    <w:rPr>
      <w:rFonts w:ascii="Arial" w:hAnsi="Arial" w:eastAsia="Arial" w:cs="Arial"/>
      <w:i/>
      <w:iCs/>
      <w:sz w:val="21"/>
      <w:szCs w:val="21"/>
    </w:rPr>
  </w:style>
  <w:style w:type="character" w:styleId="749" w:customStyle="1">
    <w:name w:val="Title Char"/>
    <w:basedOn w:val="737"/>
    <w:uiPriority w:val="10"/>
    <w:rPr>
      <w:sz w:val="48"/>
      <w:szCs w:val="48"/>
    </w:rPr>
  </w:style>
  <w:style w:type="character" w:styleId="750" w:customStyle="1">
    <w:name w:val="Subtitle Char"/>
    <w:basedOn w:val="737"/>
    <w:uiPriority w:val="11"/>
    <w:rPr>
      <w:sz w:val="24"/>
      <w:szCs w:val="24"/>
    </w:rPr>
  </w:style>
  <w:style w:type="character" w:styleId="751" w:customStyle="1">
    <w:name w:val="Quote Char"/>
    <w:uiPriority w:val="29"/>
    <w:rPr>
      <w:i/>
    </w:rPr>
  </w:style>
  <w:style w:type="character" w:styleId="752" w:customStyle="1">
    <w:name w:val="Intense Quote Char"/>
    <w:uiPriority w:val="30"/>
    <w:rPr>
      <w:i/>
    </w:rPr>
  </w:style>
  <w:style w:type="character" w:styleId="753" w:customStyle="1">
    <w:name w:val="Footnote Text Char"/>
    <w:uiPriority w:val="99"/>
    <w:rPr>
      <w:sz w:val="18"/>
    </w:rPr>
  </w:style>
  <w:style w:type="character" w:styleId="754" w:customStyle="1">
    <w:name w:val="Endnote Text Char"/>
    <w:uiPriority w:val="99"/>
    <w:rPr>
      <w:sz w:val="20"/>
    </w:rPr>
  </w:style>
  <w:style w:type="character" w:styleId="755" w:customStyle="1">
    <w:name w:val="Заголовок 1 Знак"/>
    <w:basedOn w:val="737"/>
    <w:link w:val="728"/>
    <w:uiPriority w:val="9"/>
    <w:rPr>
      <w:rFonts w:ascii="Arial" w:hAnsi="Arial" w:eastAsia="Arial" w:cs="Arial"/>
      <w:sz w:val="40"/>
      <w:szCs w:val="40"/>
    </w:rPr>
  </w:style>
  <w:style w:type="character" w:styleId="756" w:customStyle="1">
    <w:name w:val="Заголовок 2 Знак"/>
    <w:basedOn w:val="737"/>
    <w:link w:val="729"/>
    <w:uiPriority w:val="9"/>
    <w:rPr>
      <w:rFonts w:ascii="Arial" w:hAnsi="Arial" w:eastAsia="Arial" w:cs="Arial"/>
      <w:sz w:val="34"/>
    </w:rPr>
  </w:style>
  <w:style w:type="character" w:styleId="757" w:customStyle="1">
    <w:name w:val="Заголовок 3 Знак"/>
    <w:basedOn w:val="737"/>
    <w:link w:val="730"/>
    <w:uiPriority w:val="9"/>
    <w:rPr>
      <w:rFonts w:ascii="Arial" w:hAnsi="Arial" w:eastAsia="Arial" w:cs="Arial"/>
      <w:sz w:val="30"/>
      <w:szCs w:val="30"/>
    </w:rPr>
  </w:style>
  <w:style w:type="character" w:styleId="758" w:customStyle="1">
    <w:name w:val="Заголовок 4 Знак"/>
    <w:basedOn w:val="737"/>
    <w:link w:val="731"/>
    <w:uiPriority w:val="9"/>
    <w:rPr>
      <w:rFonts w:ascii="Arial" w:hAnsi="Arial" w:eastAsia="Arial" w:cs="Arial"/>
      <w:b/>
      <w:bCs/>
      <w:sz w:val="26"/>
      <w:szCs w:val="26"/>
    </w:rPr>
  </w:style>
  <w:style w:type="character" w:styleId="759" w:customStyle="1">
    <w:name w:val="Заголовок 5 Знак"/>
    <w:basedOn w:val="737"/>
    <w:link w:val="732"/>
    <w:uiPriority w:val="9"/>
    <w:rPr>
      <w:rFonts w:ascii="Arial" w:hAnsi="Arial" w:eastAsia="Arial" w:cs="Arial"/>
      <w:b/>
      <w:bCs/>
      <w:sz w:val="24"/>
      <w:szCs w:val="24"/>
    </w:rPr>
  </w:style>
  <w:style w:type="character" w:styleId="760" w:customStyle="1">
    <w:name w:val="Заголовок 6 Знак"/>
    <w:basedOn w:val="737"/>
    <w:link w:val="733"/>
    <w:uiPriority w:val="9"/>
    <w:rPr>
      <w:rFonts w:ascii="Arial" w:hAnsi="Arial" w:eastAsia="Arial" w:cs="Arial"/>
      <w:b/>
      <w:bCs/>
      <w:sz w:val="22"/>
      <w:szCs w:val="22"/>
    </w:rPr>
  </w:style>
  <w:style w:type="character" w:styleId="761" w:customStyle="1">
    <w:name w:val="Заголовок 7 Знак"/>
    <w:basedOn w:val="737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2" w:customStyle="1">
    <w:name w:val="Heading 8 Char"/>
    <w:basedOn w:val="737"/>
    <w:uiPriority w:val="9"/>
    <w:rPr>
      <w:rFonts w:ascii="Arial" w:hAnsi="Arial" w:eastAsia="Arial" w:cs="Arial"/>
      <w:i/>
      <w:iCs/>
      <w:sz w:val="22"/>
      <w:szCs w:val="22"/>
    </w:rPr>
  </w:style>
  <w:style w:type="character" w:styleId="763" w:customStyle="1">
    <w:name w:val="Заголовок 9 Знак"/>
    <w:basedOn w:val="737"/>
    <w:link w:val="736"/>
    <w:uiPriority w:val="9"/>
    <w:rPr>
      <w:rFonts w:ascii="Arial" w:hAnsi="Arial" w:eastAsia="Arial" w:cs="Arial"/>
      <w:i/>
      <w:iCs/>
      <w:sz w:val="21"/>
      <w:szCs w:val="21"/>
    </w:rPr>
  </w:style>
  <w:style w:type="paragraph" w:styleId="764">
    <w:name w:val="No Spacing"/>
    <w:uiPriority w:val="1"/>
    <w:qFormat/>
  </w:style>
  <w:style w:type="paragraph" w:styleId="765">
    <w:name w:val="Title"/>
    <w:basedOn w:val="727"/>
    <w:next w:val="727"/>
    <w:link w:val="76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6" w:customStyle="1">
    <w:name w:val="Заголовок Знак"/>
    <w:basedOn w:val="737"/>
    <w:link w:val="765"/>
    <w:uiPriority w:val="10"/>
    <w:rPr>
      <w:sz w:val="48"/>
      <w:szCs w:val="48"/>
    </w:rPr>
  </w:style>
  <w:style w:type="paragraph" w:styleId="767">
    <w:name w:val="Subtitle"/>
    <w:basedOn w:val="727"/>
    <w:next w:val="727"/>
    <w:link w:val="768"/>
    <w:uiPriority w:val="11"/>
    <w:qFormat/>
    <w:pPr>
      <w:spacing w:before="200" w:after="200"/>
    </w:pPr>
  </w:style>
  <w:style w:type="character" w:styleId="768" w:customStyle="1">
    <w:name w:val="Подзаголовок Знак"/>
    <w:basedOn w:val="737"/>
    <w:link w:val="767"/>
    <w:uiPriority w:val="11"/>
    <w:rPr>
      <w:sz w:val="24"/>
      <w:szCs w:val="24"/>
    </w:rPr>
  </w:style>
  <w:style w:type="paragraph" w:styleId="769">
    <w:name w:val="Quote"/>
    <w:basedOn w:val="727"/>
    <w:next w:val="727"/>
    <w:link w:val="770"/>
    <w:uiPriority w:val="29"/>
    <w:qFormat/>
    <w:pPr>
      <w:ind w:left="720" w:right="720"/>
    </w:pPr>
    <w:rPr>
      <w:i/>
    </w:rPr>
  </w:style>
  <w:style w:type="character" w:styleId="770" w:customStyle="1">
    <w:name w:val="Цитата 2 Знак"/>
    <w:link w:val="769"/>
    <w:uiPriority w:val="29"/>
    <w:rPr>
      <w:i/>
    </w:rPr>
  </w:style>
  <w:style w:type="paragraph" w:styleId="771">
    <w:name w:val="Intense Quote"/>
    <w:basedOn w:val="727"/>
    <w:next w:val="727"/>
    <w:link w:val="77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2" w:customStyle="1">
    <w:name w:val="Выделенная цитата Знак"/>
    <w:link w:val="771"/>
    <w:uiPriority w:val="30"/>
    <w:rPr>
      <w:i/>
    </w:rPr>
  </w:style>
  <w:style w:type="character" w:styleId="773" w:customStyle="1">
    <w:name w:val="Header Char"/>
    <w:basedOn w:val="737"/>
    <w:uiPriority w:val="99"/>
  </w:style>
  <w:style w:type="character" w:styleId="774" w:customStyle="1">
    <w:name w:val="Footer Char"/>
    <w:basedOn w:val="737"/>
    <w:uiPriority w:val="99"/>
  </w:style>
  <w:style w:type="paragraph" w:styleId="775">
    <w:name w:val="Caption"/>
    <w:basedOn w:val="727"/>
    <w:next w:val="727"/>
    <w:link w:val="77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76" w:customStyle="1">
    <w:name w:val="Название объекта Знак"/>
    <w:link w:val="775"/>
    <w:uiPriority w:val="99"/>
  </w:style>
  <w:style w:type="table" w:styleId="777">
    <w:name w:val="Table Grid"/>
    <w:basedOn w:val="73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8" w:customStyle="1">
    <w:name w:val="Table Grid Light"/>
    <w:basedOn w:val="73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9">
    <w:name w:val="Plain Table 1"/>
    <w:basedOn w:val="73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2"/>
    <w:basedOn w:val="73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3"/>
    <w:basedOn w:val="73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basedOn w:val="73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basedOn w:val="73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basedOn w:val="73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1"/>
    <w:basedOn w:val="73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2"/>
    <w:basedOn w:val="73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3"/>
    <w:basedOn w:val="73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4"/>
    <w:basedOn w:val="73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5"/>
    <w:basedOn w:val="73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6"/>
    <w:basedOn w:val="73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basedOn w:val="73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1"/>
    <w:basedOn w:val="73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2"/>
    <w:basedOn w:val="73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3"/>
    <w:basedOn w:val="73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4"/>
    <w:basedOn w:val="73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5"/>
    <w:basedOn w:val="73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6"/>
    <w:basedOn w:val="73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basedOn w:val="73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1"/>
    <w:basedOn w:val="73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2"/>
    <w:basedOn w:val="73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3"/>
    <w:basedOn w:val="73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4"/>
    <w:basedOn w:val="73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5"/>
    <w:basedOn w:val="73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6"/>
    <w:basedOn w:val="73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basedOn w:val="73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 w:customStyle="1">
    <w:name w:val="Grid Table 4 - Accent 1"/>
    <w:basedOn w:val="738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07" w:customStyle="1">
    <w:name w:val="Grid Table 4 - Accent 2"/>
    <w:basedOn w:val="73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8" w:customStyle="1">
    <w:name w:val="Grid Table 4 - Accent 3"/>
    <w:basedOn w:val="73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9" w:customStyle="1">
    <w:name w:val="Grid Table 4 - Accent 4"/>
    <w:basedOn w:val="73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0" w:customStyle="1">
    <w:name w:val="Grid Table 4 - Accent 5"/>
    <w:basedOn w:val="738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11" w:customStyle="1">
    <w:name w:val="Grid Table 4 - Accent 6"/>
    <w:basedOn w:val="73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12">
    <w:name w:val="Grid Table 5 Dark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1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2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3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- Accent 4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 - Accent 5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6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9">
    <w:name w:val="Grid Table 6 Colorful"/>
    <w:basedOn w:val="73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0" w:customStyle="1">
    <w:name w:val="Grid Table 6 Colorful - Accent 1"/>
    <w:basedOn w:val="738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21" w:customStyle="1">
    <w:name w:val="Grid Table 6 Colorful - Accent 2"/>
    <w:basedOn w:val="73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22" w:customStyle="1">
    <w:name w:val="Grid Table 6 Colorful - Accent 3"/>
    <w:basedOn w:val="73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23" w:customStyle="1">
    <w:name w:val="Grid Table 6 Colorful - Accent 4"/>
    <w:basedOn w:val="73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24" w:customStyle="1">
    <w:name w:val="Grid Table 6 Colorful - Accent 5"/>
    <w:basedOn w:val="738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25" w:customStyle="1">
    <w:name w:val="Grid Table 6 Colorful - Accent 6"/>
    <w:basedOn w:val="73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26">
    <w:name w:val="Grid Table 7 Colorful"/>
    <w:basedOn w:val="73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1"/>
    <w:basedOn w:val="738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2"/>
    <w:basedOn w:val="73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3"/>
    <w:basedOn w:val="73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4"/>
    <w:basedOn w:val="73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5"/>
    <w:basedOn w:val="738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6"/>
    <w:basedOn w:val="73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basedOn w:val="738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1"/>
    <w:basedOn w:val="738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2"/>
    <w:basedOn w:val="738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3"/>
    <w:basedOn w:val="738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4"/>
    <w:basedOn w:val="738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5"/>
    <w:basedOn w:val="738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6"/>
    <w:basedOn w:val="738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73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1"/>
    <w:basedOn w:val="738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2"/>
    <w:basedOn w:val="73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3"/>
    <w:basedOn w:val="73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4"/>
    <w:basedOn w:val="73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5"/>
    <w:basedOn w:val="738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6"/>
    <w:basedOn w:val="73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basedOn w:val="73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1"/>
    <w:basedOn w:val="738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2"/>
    <w:basedOn w:val="73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3"/>
    <w:basedOn w:val="73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4"/>
    <w:basedOn w:val="73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5"/>
    <w:basedOn w:val="738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6"/>
    <w:basedOn w:val="73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basedOn w:val="73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1"/>
    <w:basedOn w:val="738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2"/>
    <w:basedOn w:val="73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3"/>
    <w:basedOn w:val="73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4"/>
    <w:basedOn w:val="73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5"/>
    <w:basedOn w:val="738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6"/>
    <w:basedOn w:val="73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73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1"/>
    <w:basedOn w:val="738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2"/>
    <w:basedOn w:val="73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3"/>
    <w:basedOn w:val="73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4"/>
    <w:basedOn w:val="73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5"/>
    <w:basedOn w:val="738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6"/>
    <w:basedOn w:val="73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>
    <w:name w:val="List Table 6 Colorful"/>
    <w:basedOn w:val="73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9" w:customStyle="1">
    <w:name w:val="List Table 6 Colorful - Accent 1"/>
    <w:basedOn w:val="738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70" w:customStyle="1">
    <w:name w:val="List Table 6 Colorful - Accent 2"/>
    <w:basedOn w:val="73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1" w:customStyle="1">
    <w:name w:val="List Table 6 Colorful - Accent 3"/>
    <w:basedOn w:val="73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72" w:customStyle="1">
    <w:name w:val="List Table 6 Colorful - Accent 4"/>
    <w:basedOn w:val="73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73" w:customStyle="1">
    <w:name w:val="List Table 6 Colorful - Accent 5"/>
    <w:basedOn w:val="738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74" w:customStyle="1">
    <w:name w:val="List Table 6 Colorful - Accent 6"/>
    <w:basedOn w:val="73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5">
    <w:name w:val="List Table 7 Colorful"/>
    <w:basedOn w:val="73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1"/>
    <w:basedOn w:val="738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2"/>
    <w:basedOn w:val="73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3"/>
    <w:basedOn w:val="73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4"/>
    <w:basedOn w:val="73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5"/>
    <w:basedOn w:val="738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6"/>
    <w:basedOn w:val="73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ned - Accent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Lined - Accent 1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84" w:customStyle="1">
    <w:name w:val="Lined - Accent 2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5" w:customStyle="1">
    <w:name w:val="Lined - Accent 3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6" w:customStyle="1">
    <w:name w:val="Lined - Accent 4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7" w:customStyle="1">
    <w:name w:val="Lined - Accent 5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88" w:customStyle="1">
    <w:name w:val="Lined - Accent 6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9" w:customStyle="1">
    <w:name w:val="Bordered &amp; Lined - Accent"/>
    <w:basedOn w:val="73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0" w:customStyle="1">
    <w:name w:val="Bordered &amp; Lined - Accent 1"/>
    <w:basedOn w:val="738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91" w:customStyle="1">
    <w:name w:val="Bordered &amp; Lined - Accent 2"/>
    <w:basedOn w:val="738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2" w:customStyle="1">
    <w:name w:val="Bordered &amp; Lined - Accent 3"/>
    <w:basedOn w:val="738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3" w:customStyle="1">
    <w:name w:val="Bordered &amp; Lined - Accent 4"/>
    <w:basedOn w:val="738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4" w:customStyle="1">
    <w:name w:val="Bordered &amp; Lined - Accent 5"/>
    <w:basedOn w:val="738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95" w:customStyle="1">
    <w:name w:val="Bordered &amp; Lined - Accent 6"/>
    <w:basedOn w:val="738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6" w:customStyle="1">
    <w:name w:val="Bordered"/>
    <w:basedOn w:val="73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7" w:customStyle="1">
    <w:name w:val="Bordered - Accent 1"/>
    <w:basedOn w:val="73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98" w:customStyle="1">
    <w:name w:val="Bordered - Accent 2"/>
    <w:basedOn w:val="73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9" w:customStyle="1">
    <w:name w:val="Bordered - Accent 3"/>
    <w:basedOn w:val="73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0" w:customStyle="1">
    <w:name w:val="Bordered - Accent 4"/>
    <w:basedOn w:val="73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1" w:customStyle="1">
    <w:name w:val="Bordered - Accent 5"/>
    <w:basedOn w:val="73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02" w:customStyle="1">
    <w:name w:val="Bordered - Accent 6"/>
    <w:basedOn w:val="73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03">
    <w:name w:val="footnote text"/>
    <w:basedOn w:val="727"/>
    <w:link w:val="904"/>
    <w:uiPriority w:val="99"/>
    <w:semiHidden/>
    <w:unhideWhenUsed/>
    <w:pPr>
      <w:spacing w:after="40"/>
    </w:pPr>
    <w:rPr>
      <w:sz w:val="18"/>
    </w:rPr>
  </w:style>
  <w:style w:type="character" w:styleId="904" w:customStyle="1">
    <w:name w:val="Текст сноски Знак"/>
    <w:link w:val="903"/>
    <w:uiPriority w:val="99"/>
    <w:rPr>
      <w:sz w:val="18"/>
    </w:rPr>
  </w:style>
  <w:style w:type="character" w:styleId="905">
    <w:name w:val="footnote reference"/>
    <w:basedOn w:val="737"/>
    <w:uiPriority w:val="99"/>
    <w:unhideWhenUsed/>
    <w:rPr>
      <w:vertAlign w:val="superscript"/>
    </w:rPr>
  </w:style>
  <w:style w:type="paragraph" w:styleId="906">
    <w:name w:val="endnote text"/>
    <w:basedOn w:val="727"/>
    <w:link w:val="907"/>
    <w:uiPriority w:val="99"/>
    <w:semiHidden/>
    <w:unhideWhenUsed/>
    <w:rPr>
      <w:sz w:val="20"/>
    </w:rPr>
  </w:style>
  <w:style w:type="character" w:styleId="907" w:customStyle="1">
    <w:name w:val="Текст концевой сноски Знак"/>
    <w:link w:val="906"/>
    <w:uiPriority w:val="99"/>
    <w:rPr>
      <w:sz w:val="20"/>
    </w:rPr>
  </w:style>
  <w:style w:type="character" w:styleId="908">
    <w:name w:val="endnote reference"/>
    <w:basedOn w:val="737"/>
    <w:uiPriority w:val="99"/>
    <w:semiHidden/>
    <w:unhideWhenUsed/>
    <w:rPr>
      <w:vertAlign w:val="superscript"/>
    </w:rPr>
  </w:style>
  <w:style w:type="paragraph" w:styleId="909">
    <w:name w:val="toc 1"/>
    <w:basedOn w:val="727"/>
    <w:next w:val="727"/>
    <w:uiPriority w:val="39"/>
    <w:unhideWhenUsed/>
    <w:pPr>
      <w:spacing w:after="57"/>
    </w:pPr>
  </w:style>
  <w:style w:type="paragraph" w:styleId="910">
    <w:name w:val="toc 2"/>
    <w:basedOn w:val="727"/>
    <w:next w:val="727"/>
    <w:uiPriority w:val="39"/>
    <w:unhideWhenUsed/>
    <w:pPr>
      <w:ind w:left="283"/>
      <w:spacing w:after="57"/>
    </w:pPr>
  </w:style>
  <w:style w:type="paragraph" w:styleId="911">
    <w:name w:val="toc 3"/>
    <w:basedOn w:val="727"/>
    <w:next w:val="727"/>
    <w:uiPriority w:val="39"/>
    <w:unhideWhenUsed/>
    <w:pPr>
      <w:ind w:left="567"/>
      <w:spacing w:after="57"/>
    </w:pPr>
  </w:style>
  <w:style w:type="paragraph" w:styleId="912">
    <w:name w:val="toc 4"/>
    <w:basedOn w:val="727"/>
    <w:next w:val="727"/>
    <w:uiPriority w:val="39"/>
    <w:unhideWhenUsed/>
    <w:pPr>
      <w:ind w:left="850"/>
      <w:spacing w:after="57"/>
    </w:pPr>
  </w:style>
  <w:style w:type="paragraph" w:styleId="913">
    <w:name w:val="toc 5"/>
    <w:basedOn w:val="727"/>
    <w:next w:val="727"/>
    <w:uiPriority w:val="39"/>
    <w:unhideWhenUsed/>
    <w:pPr>
      <w:ind w:left="1134"/>
      <w:spacing w:after="57"/>
    </w:pPr>
  </w:style>
  <w:style w:type="paragraph" w:styleId="914">
    <w:name w:val="toc 6"/>
    <w:basedOn w:val="727"/>
    <w:next w:val="727"/>
    <w:uiPriority w:val="39"/>
    <w:unhideWhenUsed/>
    <w:pPr>
      <w:ind w:left="1417"/>
      <w:spacing w:after="57"/>
    </w:pPr>
  </w:style>
  <w:style w:type="paragraph" w:styleId="915">
    <w:name w:val="toc 7"/>
    <w:basedOn w:val="727"/>
    <w:next w:val="727"/>
    <w:uiPriority w:val="39"/>
    <w:unhideWhenUsed/>
    <w:pPr>
      <w:ind w:left="1701"/>
      <w:spacing w:after="57"/>
    </w:pPr>
  </w:style>
  <w:style w:type="paragraph" w:styleId="916">
    <w:name w:val="toc 8"/>
    <w:basedOn w:val="727"/>
    <w:next w:val="727"/>
    <w:uiPriority w:val="39"/>
    <w:unhideWhenUsed/>
    <w:pPr>
      <w:ind w:left="1984"/>
      <w:spacing w:after="57"/>
    </w:pPr>
  </w:style>
  <w:style w:type="paragraph" w:styleId="917">
    <w:name w:val="toc 9"/>
    <w:basedOn w:val="727"/>
    <w:next w:val="727"/>
    <w:uiPriority w:val="39"/>
    <w:unhideWhenUsed/>
    <w:pPr>
      <w:ind w:left="2268"/>
      <w:spacing w:after="57"/>
    </w:pPr>
  </w:style>
  <w:style w:type="paragraph" w:styleId="918">
    <w:name w:val="TOC Heading"/>
    <w:uiPriority w:val="39"/>
    <w:unhideWhenUsed/>
  </w:style>
  <w:style w:type="paragraph" w:styleId="919">
    <w:name w:val="table of figures"/>
    <w:basedOn w:val="727"/>
    <w:next w:val="727"/>
    <w:uiPriority w:val="99"/>
    <w:unhideWhenUsed/>
  </w:style>
  <w:style w:type="character" w:styleId="920" w:customStyle="1">
    <w:name w:val="Заголовок 8 Знак"/>
    <w:link w:val="735"/>
    <w:uiPriority w:val="9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21">
    <w:name w:val="Header"/>
    <w:basedOn w:val="727"/>
    <w:link w:val="922"/>
    <w:uiPriority w:val="99"/>
    <w:pPr>
      <w:tabs>
        <w:tab w:val="center" w:pos="4677" w:leader="none"/>
        <w:tab w:val="right" w:pos="9355" w:leader="none"/>
      </w:tabs>
    </w:pPr>
  </w:style>
  <w:style w:type="character" w:styleId="922" w:customStyle="1">
    <w:name w:val="Верхний колонтитул Знак"/>
    <w:link w:val="92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3">
    <w:name w:val="page number"/>
    <w:uiPriority w:val="99"/>
    <w:rPr>
      <w:rFonts w:cs="Times New Roman"/>
    </w:rPr>
  </w:style>
  <w:style w:type="paragraph" w:styleId="924" w:customStyle="1">
    <w:name w:val="ConsPlusNormal"/>
    <w:rPr>
      <w:rFonts w:ascii="Arial" w:hAnsi="Arial" w:cs="Arial"/>
      <w:lang w:eastAsia="en-US"/>
    </w:rPr>
  </w:style>
  <w:style w:type="paragraph" w:styleId="925">
    <w:name w:val="Balloon Text"/>
    <w:basedOn w:val="727"/>
    <w:link w:val="92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26" w:customStyle="1">
    <w:name w:val="Текст выноски Знак"/>
    <w:link w:val="925"/>
    <w:uiPriority w:val="99"/>
    <w:semiHidden/>
    <w:rPr>
      <w:rFonts w:ascii="Segoe UI" w:hAnsi="Segoe UI" w:eastAsia="Times New Roman" w:cs="Segoe UI"/>
      <w:sz w:val="18"/>
      <w:szCs w:val="18"/>
    </w:rPr>
  </w:style>
  <w:style w:type="character" w:styleId="927">
    <w:name w:val="Hyperlink"/>
    <w:basedOn w:val="737"/>
    <w:uiPriority w:val="99"/>
    <w:unhideWhenUsed/>
    <w:rPr>
      <w:color w:val="0000ff"/>
      <w:u w:val="single"/>
    </w:rPr>
  </w:style>
  <w:style w:type="paragraph" w:styleId="928">
    <w:name w:val="List Paragraph"/>
    <w:basedOn w:val="727"/>
    <w:link w:val="937"/>
    <w:uiPriority w:val="34"/>
    <w:qFormat/>
    <w:pPr>
      <w:contextualSpacing/>
      <w:ind w:left="720"/>
    </w:pPr>
  </w:style>
  <w:style w:type="character" w:styleId="929">
    <w:name w:val="annotation reference"/>
    <w:basedOn w:val="737"/>
    <w:uiPriority w:val="99"/>
    <w:semiHidden/>
    <w:unhideWhenUsed/>
    <w:rPr>
      <w:sz w:val="16"/>
      <w:szCs w:val="16"/>
    </w:rPr>
  </w:style>
  <w:style w:type="paragraph" w:styleId="930">
    <w:name w:val="annotation text"/>
    <w:basedOn w:val="727"/>
    <w:link w:val="931"/>
    <w:uiPriority w:val="99"/>
    <w:unhideWhenUsed/>
    <w:pPr>
      <w:spacing w:after="160"/>
    </w:pPr>
    <w:rPr>
      <w:rFonts w:asciiTheme="minorHAnsi" w:hAnsiTheme="minorHAnsi" w:eastAsiaTheme="minorEastAsia" w:cstheme="minorBidi"/>
      <w:sz w:val="20"/>
      <w:szCs w:val="20"/>
    </w:rPr>
  </w:style>
  <w:style w:type="character" w:styleId="931" w:customStyle="1">
    <w:name w:val="Текст примечания Знак"/>
    <w:basedOn w:val="737"/>
    <w:link w:val="930"/>
    <w:uiPriority w:val="99"/>
    <w:rPr>
      <w:rFonts w:asciiTheme="minorHAnsi" w:hAnsiTheme="minorHAnsi" w:eastAsiaTheme="minorEastAsia" w:cstheme="minorBidi"/>
    </w:rPr>
  </w:style>
  <w:style w:type="paragraph" w:styleId="932">
    <w:name w:val="Normal (Web)"/>
    <w:basedOn w:val="727"/>
    <w:uiPriority w:val="99"/>
    <w:unhideWhenUsed/>
    <w:pPr>
      <w:spacing w:before="100" w:beforeAutospacing="1" w:after="100" w:afterAutospacing="1"/>
    </w:pPr>
  </w:style>
  <w:style w:type="paragraph" w:styleId="933">
    <w:name w:val="Footer"/>
    <w:basedOn w:val="727"/>
    <w:link w:val="93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34" w:customStyle="1">
    <w:name w:val="Нижний колонтитул Знак"/>
    <w:basedOn w:val="737"/>
    <w:link w:val="933"/>
    <w:uiPriority w:val="99"/>
    <w:rPr>
      <w:rFonts w:ascii="Times New Roman" w:hAnsi="Times New Roman" w:eastAsia="Times New Roman"/>
      <w:sz w:val="24"/>
      <w:szCs w:val="24"/>
    </w:rPr>
  </w:style>
  <w:style w:type="paragraph" w:styleId="935">
    <w:name w:val="annotation subject"/>
    <w:basedOn w:val="930"/>
    <w:next w:val="930"/>
    <w:link w:val="936"/>
    <w:uiPriority w:val="99"/>
    <w:semiHidden/>
    <w:unhideWhenUsed/>
    <w:pPr>
      <w:spacing w:after="0"/>
    </w:pPr>
    <w:rPr>
      <w:rFonts w:ascii="Times New Roman" w:hAnsi="Times New Roman" w:eastAsia="Times New Roman" w:cs="Times New Roman"/>
      <w:b/>
      <w:bCs/>
    </w:rPr>
  </w:style>
  <w:style w:type="character" w:styleId="936" w:customStyle="1">
    <w:name w:val="Тема примечания Знак"/>
    <w:basedOn w:val="931"/>
    <w:link w:val="935"/>
    <w:uiPriority w:val="99"/>
    <w:semiHidden/>
    <w:rPr>
      <w:rFonts w:ascii="Times New Roman" w:hAnsi="Times New Roman" w:eastAsia="Times New Roman" w:cstheme="minorBidi"/>
      <w:b/>
      <w:bCs/>
    </w:rPr>
  </w:style>
  <w:style w:type="character" w:styleId="937" w:customStyle="1">
    <w:name w:val="Абзац списка Знак"/>
    <w:link w:val="928"/>
    <w:uiPriority w:val="34"/>
    <w:rPr>
      <w:rFonts w:ascii="Times New Roman" w:hAnsi="Times New Roman" w:eastAsia="Times New Roman"/>
      <w:sz w:val="24"/>
      <w:szCs w:val="24"/>
    </w:rPr>
  </w:style>
  <w:style w:type="paragraph" w:styleId="938">
    <w:name w:val="Body Text"/>
    <w:basedOn w:val="727"/>
    <w:link w:val="939"/>
    <w:uiPriority w:val="1"/>
    <w:qFormat/>
    <w:pPr>
      <w:ind w:left="113" w:right="102" w:firstLine="709"/>
      <w:jc w:val="both"/>
      <w:widowControl w:val="off"/>
    </w:pPr>
    <w:rPr>
      <w:sz w:val="28"/>
      <w:szCs w:val="28"/>
      <w:lang w:val="en-US" w:eastAsia="en-US"/>
    </w:rPr>
  </w:style>
  <w:style w:type="character" w:styleId="939" w:customStyle="1">
    <w:name w:val="Основной текст Знак"/>
    <w:basedOn w:val="737"/>
    <w:link w:val="938"/>
    <w:uiPriority w:val="1"/>
    <w:rPr>
      <w:rFonts w:ascii="Times New Roman" w:hAnsi="Times New Roman" w:eastAsia="Times New Roman"/>
      <w:sz w:val="28"/>
      <w:szCs w:val="28"/>
      <w:lang w:val="en-US" w:eastAsia="en-US"/>
    </w:rPr>
  </w:style>
  <w:style w:type="character" w:styleId="940" w:customStyle="1">
    <w:name w:val="docdata"/>
    <w:basedOn w:val="737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r7-office/2025.2.1.801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Горбушин Михаил Михайлович</dc:creator>
  <cp:keywords/>
  <dc:description/>
  <cp:lastModifiedBy>Ситникова Е.В., Отдел нормативно-правового регулирования цифровой маркировки товаров</cp:lastModifiedBy>
  <cp:revision>12</cp:revision>
  <dcterms:created xsi:type="dcterms:W3CDTF">2026-05-22T13:47:00Z</dcterms:created>
  <dcterms:modified xsi:type="dcterms:W3CDTF">2026-08-06T12:41:57Z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{0AF273D4-4507-4BE7-BD5D-6DF3727CB58D}</vt:lpwstr>
  </property>
  <property fmtid="{D5CDD505-2E9C-101B-9397-08002B2CF9AE}" pid="3" name="#RegDocId">
    <vt:lpwstr>Исх. Письмо № Вр-3967908</vt:lpwstr>
  </property>
  <property fmtid="{D5CDD505-2E9C-101B-9397-08002B2CF9AE}" pid="4" name="FileDocId">
    <vt:lpwstr>{3AC0C11A-4A1E-4920-AB81-2F37DB9BDAD1}</vt:lpwstr>
  </property>
  <property fmtid="{D5CDD505-2E9C-101B-9397-08002B2CF9AE}" pid="5" name="#FileDocId">
    <vt:lpwstr>Файл: Пояснительная записка.doc</vt:lpwstr>
  </property>
</Properties>
</file>